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Segoe UI" w:hAnsi="Segoe UI" w:cs="Segoe UI"/>
          <w:b/>
          <w:sz w:val="48"/>
          <w:color w:val="0F172A"/>
        </w:rPr>
        <w:t>UMAKANT YADAV</w:t>
      </w:r>
    </w:p>
    <w:p>
      <w:pPr>
        <w:jc w:val="center"/>
        <w:spacing w:before="0" w:after="90"/>
      </w:pPr>
      <w:r>
        <w:rPr>
          <w:rFonts w:ascii="Segoe UI" w:hAnsi="Segoe UI" w:cs="Segoe UI"/>
          <w:b/>
          <w:sz w:val="26"/>
          <w:color w:val="1D4ED8"/>
        </w:rPr>
        <w:t>Head of Business Intelligence &amp; Revenue Ops</w:t>
      </w:r>
    </w:p>
    <w:p>
      <w:pPr>
        <w:jc w:val="center"/>
        <w:spacing w:before="0" w:after="160"/>
        <w:pBdr>
          <w:bottom w:val="single" w:sz="18" w:space="8" w:color="2563EB"/>
        </w:pBdr>
      </w:pPr>
      <w:r>
        <w:rPr>
          <w:rFonts w:ascii="Segoe UI" w:hAnsi="Segoe UI"/>
          <w:b/>
          <w:sz w:val="18"/>
          <w:color w:val="2563EB"/>
        </w:rPr>
        <w:t xml:space="preserve">✉  </w:t>
      </w:r>
      <w:r>
        <w:rPr>
          <w:rFonts w:ascii="Segoe UI" w:hAnsi="Segoe UI"/>
          <w:sz w:val="18"/>
          <w:color w:val="334155"/>
        </w:rPr>
        <w:t>uky171991@gmail.com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2563EB"/>
        </w:rPr>
        <w:t xml:space="preserve">✆  </w:t>
      </w:r>
      <w:r>
        <w:rPr>
          <w:rFonts w:ascii="Segoe UI" w:hAnsi="Segoe UI"/>
          <w:sz w:val="18"/>
          <w:color w:val="334155"/>
        </w:rPr>
        <w:t>9453619260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2563EB"/>
        </w:rPr>
        <w:t xml:space="preserve">⚲  </w:t>
      </w:r>
      <w:r>
        <w:rPr>
          <w:rFonts w:ascii="Segoe UI" w:hAnsi="Segoe UI"/>
          <w:sz w:val="18"/>
          <w:color w:val="334155"/>
        </w:rPr>
        <w:t>Chicago, IL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2563EB"/>
        </w:rPr>
        <w:t xml:space="preserve">in  </w:t>
      </w:r>
      <w:r>
        <w:rPr>
          <w:rFonts w:ascii="Segoe UI" w:hAnsi="Segoe UI"/>
          <w:sz w:val="18"/>
          <w:color w:val="334155"/>
        </w:rPr>
        <w:t>linkedin.com/in/rachelzhang-bi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400" w:type="dxa"/>
            <w:tcMar>
              <w:right w:w="240" w:type="dxa"/>
            </w:tcMar>
          </w:tcPr>
          <w:p>
            <w:pPr>
              <w:spacing w:before="140" w:after="80"/>
              <w:pBdr>
                <w:bottom w:val="single" w:sz="6" w:space="4" w:color="2563E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2563EB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1D4ED8"/>
              </w:rPr>
              <w:t xml:space="preserve">  PROFILE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2563EB"/>
              </w:rPr>
              <w:t xml:space="preserve">–  </w:t>
            </w:r>
            <w:r>
              <w:rPr>
                <w:rFonts w:ascii="Segoe UI" w:hAnsi="Segoe UI" w:cs="Segoe UI"/>
                <w:sz w:val="19"/>
                <w:color w:val="334155"/>
              </w:rPr>
              <w:t>Revenue Operations &amp; BI leader with 8+ years synthesizing complex transactional datasets into actionable executive dashboards, customer churn models, and revenue forecasts for high-growth enterprises.</w:t>
            </w:r>
          </w:p>
          <w:p>
            <w:pPr>
              <w:spacing w:before="0" w:after="0"/>
            </w:pPr>
          </w:p>
        </w:tc>
        <w:tc>
          <w:tcPr>
            <w:tcW w:w="4066" w:type="dxa"/>
            <w:tcMar>
              <w:left w:w="240" w:type="dxa"/>
            </w:tcMar>
          </w:tcPr>
          <w:p>
            <w:pPr>
              <w:spacing w:before="140" w:after="80"/>
              <w:pBdr>
                <w:bottom w:val="single" w:sz="6" w:space="4" w:color="2563E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2563EB"/>
                <w:color w:val="FFFFFF"/>
              </w:rPr>
              <w:t xml:space="preserve">  🗂  </w:t>
            </w:r>
            <w:r>
              <w:rPr>
                <w:rFonts w:ascii="Segoe UI" w:hAnsi="Segoe UI" w:cs="Segoe UI"/>
                <w:b/>
                <w:sz w:val="22"/>
                <w:color w:val="1D4ED8"/>
              </w:rPr>
              <w:t xml:space="preserve">  CORE COMPETENCIES</w:t>
            </w:r>
          </w:p>
          <w:tbl>
            <w:tblPr>
              <w:tblW w:w="4066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r>
              <w:tc>
                <w:tcPr>
                  <w:tcW w:w="4066" w:type="dxa"/>
                  <w:shd w:val="clear" w:color="auto" w:fill="3B82F6"/>
                  <w:tcBorders>
                    <w:top w:val="single" w:sz="6" w:space="0" w:color="1D4ED8"/>
                    <w:left w:val="single" w:sz="6" w:space="0" w:color="1D4ED8"/>
                    <w:bottom w:val="single" w:sz="6" w:space="0" w:color="1D4ED8"/>
                    <w:right w:val="single" w:sz="6" w:space="0" w:color="1D4ED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Snowflake Data Cloud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3B82F6"/>
                  <w:tcBorders>
                    <w:top w:val="single" w:sz="6" w:space="0" w:color="1D4ED8"/>
                    <w:left w:val="single" w:sz="6" w:space="0" w:color="1D4ED8"/>
                    <w:bottom w:val="single" w:sz="6" w:space="0" w:color="1D4ED8"/>
                    <w:right w:val="single" w:sz="6" w:space="0" w:color="1D4ED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SQL (Advanced)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3B82F6"/>
                  <w:tcBorders>
                    <w:top w:val="single" w:sz="6" w:space="0" w:color="1D4ED8"/>
                    <w:left w:val="single" w:sz="6" w:space="0" w:color="1D4ED8"/>
                    <w:bottom w:val="single" w:sz="6" w:space="0" w:color="1D4ED8"/>
                    <w:right w:val="single" w:sz="6" w:space="0" w:color="1D4ED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dbt Core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3B82F6"/>
                  <w:tcBorders>
                    <w:top w:val="single" w:sz="6" w:space="0" w:color="1D4ED8"/>
                    <w:left w:val="single" w:sz="6" w:space="0" w:color="1D4ED8"/>
                    <w:bottom w:val="single" w:sz="6" w:space="0" w:color="1D4ED8"/>
                    <w:right w:val="single" w:sz="6" w:space="0" w:color="1D4ED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Tableau &amp; Looker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3B82F6"/>
                  <w:tcBorders>
                    <w:top w:val="single" w:sz="6" w:space="0" w:color="1D4ED8"/>
                    <w:left w:val="single" w:sz="6" w:space="0" w:color="1D4ED8"/>
                    <w:bottom w:val="single" w:sz="6" w:space="0" w:color="1D4ED8"/>
                    <w:right w:val="single" w:sz="6" w:space="0" w:color="1D4ED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Python Analytics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3B82F6"/>
                  <w:tcBorders>
                    <w:top w:val="single" w:sz="6" w:space="0" w:color="1D4ED8"/>
                    <w:left w:val="single" w:sz="6" w:space="0" w:color="1D4ED8"/>
                    <w:bottom w:val="single" w:sz="6" w:space="0" w:color="1D4ED8"/>
                    <w:right w:val="single" w:sz="6" w:space="0" w:color="1D4ED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Salesforce CRM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3B82F6"/>
                  <w:tcBorders>
                    <w:top w:val="single" w:sz="6" w:space="0" w:color="1D4ED8"/>
                    <w:left w:val="single" w:sz="6" w:space="0" w:color="1D4ED8"/>
                    <w:bottom w:val="single" w:sz="6" w:space="0" w:color="1D4ED8"/>
                    <w:right w:val="single" w:sz="6" w:space="0" w:color="1D4ED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Revenue Modeling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3B82F6"/>
                  <w:tcBorders>
                    <w:top w:val="single" w:sz="6" w:space="0" w:color="1D4ED8"/>
                    <w:left w:val="single" w:sz="6" w:space="0" w:color="1D4ED8"/>
                    <w:bottom w:val="single" w:sz="6" w:space="0" w:color="1D4ED8"/>
                    <w:right w:val="single" w:sz="6" w:space="0" w:color="1D4ED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ETL Data Pipelines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120" w:after="120"/>
        <w:pBdr>
          <w:bottom w:val="single" w:sz="14" w:space="6" w:color="2563EB"/>
        </w:pBdr>
      </w:pP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CAREER TIMELINE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Head of Business Intelligence</w:t>
            </w:r>
            <w:r>
              <w:rPr>
                <w:sz w:val="20"/>
                <w:color w:val="64748B"/>
              </w:rPr>
              <w:t>  —  SaaS Metrics Cloud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1D4ED8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Architected Snowflake centralized enterprise data warehouse unifying Salesforce, Stripe, and Product analytics.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Developed real-time executive KPI dashboards utilized daily by C-suite for quarterly board presentations.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Built early-warning customer churn prediction model saving $4.8M in annual recurring contract revenue.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BI Analyst</w:t>
            </w:r>
            <w:r>
              <w:rPr>
                <w:sz w:val="20"/>
                <w:color w:val="64748B"/>
              </w:rPr>
              <w:t>  —  Accenture Analytics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1D4ED8"/>
              </w:rPr>
              <w:t>2018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Led analytics consulting engagements for Fortune 100 retailers, optimizing inventory allocation by $18M.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Automated 40+ manual reporting workflows using dbt and Airflow, saving 25 hours per week.</w:t>
      </w:r>
    </w:p>
    <w:p>
      <w:pPr>
        <w:spacing w:before="120" w:after="120"/>
        <w:pBdr>
          <w:bottom w:val="single" w:sz="14" w:space="6" w:color="2563EB"/>
        </w:pBdr>
      </w:pP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 &amp; ACADEMICS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M.S. in Business Analytics &amp; Statistics</w:t>
            </w:r>
            <w:r>
              <w:rPr>
                <w:sz w:val="20"/>
                <w:color w:val="64748B"/>
              </w:rPr>
              <w:t>  |  Northwestern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1D4ED8"/>
              </w:rPr>
              <w:t>2018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Information Systems</w:t>
            </w:r>
            <w:r>
              <w:rPr>
                <w:sz w:val="20"/>
                <w:color w:val="64748B"/>
              </w:rPr>
              <w:t>  |  University of Illinois Urbana-Champaign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1D4ED8"/>
              </w:rPr>
              <w:t>2016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