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rFonts w:ascii="Segoe UI" w:hAnsi="Segoe UI" w:cs="Segoe UI"/>
          <w:b/>
          <w:sz w:val="48"/>
          <w:color w:val="111827"/>
        </w:rPr>
        <w:t>UMAKANT YADAV</w:t>
      </w:r>
    </w:p>
    <w:p>
      <w:pPr>
        <w:jc w:val="center"/>
        <w:spacing w:before="0" w:after="90"/>
      </w:pPr>
      <w:r>
        <w:rPr>
          <w:rFonts w:ascii="Segoe UI" w:hAnsi="Segoe UI" w:cs="Segoe UI"/>
          <w:b/>
          <w:sz w:val="26"/>
          <w:color w:val="A8792C"/>
        </w:rPr>
        <w:t>Chief Executive Officer &amp; Board Director</w:t>
      </w:r>
    </w:p>
    <w:p>
      <w:pPr>
        <w:jc w:val="center"/>
        <w:spacing w:before="0" w:after="160"/>
        <w:pBdr>
          <w:bottom w:val="single" w:sz="18" w:space="8" w:color="3B82F6"/>
        </w:pBdr>
      </w:pPr>
      <w:r>
        <w:rPr>
          <w:rFonts w:ascii="Segoe UI" w:hAnsi="Segoe UI"/>
          <w:b/>
          <w:sz w:val="18"/>
          <w:color w:val="C29342"/>
        </w:rPr>
        <w:t xml:space="preserve">✉  </w:t>
      </w:r>
      <w:r>
        <w:rPr>
          <w:rFonts w:ascii="Segoe UI" w:hAnsi="Segoe UI"/>
          <w:sz w:val="18"/>
          <w:color w:val="374151"/>
        </w:rPr>
        <w:t>uky171991@gmail.com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C29342"/>
        </w:rPr>
        <w:t xml:space="preserve">✆  </w:t>
      </w:r>
      <w:r>
        <w:rPr>
          <w:rFonts w:ascii="Segoe UI" w:hAnsi="Segoe UI"/>
          <w:sz w:val="18"/>
          <w:color w:val="374151"/>
        </w:rPr>
        <w:t>9453619260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C29342"/>
        </w:rPr>
        <w:t xml:space="preserve">⚲  </w:t>
      </w:r>
      <w:r>
        <w:rPr>
          <w:rFonts w:ascii="Segoe UI" w:hAnsi="Segoe UI"/>
          <w:sz w:val="18"/>
          <w:color w:val="374151"/>
        </w:rPr>
        <w:t>New York, NY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C29342"/>
        </w:rPr>
        <w:t xml:space="preserve">in  </w:t>
      </w:r>
      <w:r>
        <w:rPr>
          <w:rFonts w:ascii="Segoe UI" w:hAnsi="Segoe UI"/>
          <w:sz w:val="18"/>
          <w:color w:val="374151"/>
        </w:rPr>
        <w:t>linkedin.com/in/marcussterling-ceo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6400" w:type="dxa"/>
            <w:tcMar>
              <w:right w:w="240" w:type="dxa"/>
            </w:tcMar>
          </w:tcPr>
          <w:p>
            <w:pPr>
              <w:spacing w:before="140" w:after="80"/>
              <w:pBdr>
                <w:bottom w:val="single" w:sz="6" w:space="4" w:color="C29342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C29342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A8792C"/>
              </w:rPr>
              <w:t xml:space="preserve">  PROFILE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C29342"/>
              </w:rPr>
              <w:t xml:space="preserve">–  </w:t>
            </w:r>
            <w:r>
              <w:rPr>
                <w:rFonts w:ascii="Segoe UI" w:hAnsi="Segoe UI" w:cs="Segoe UI"/>
                <w:sz w:val="19"/>
                <w:color w:val="374151"/>
              </w:rPr>
              <w:t>Accomplished Chief Executive Officer with 18+ years leading strategic transformations, capital allocation, and international market expansions for multi-hundred-million-dollar industrial and technology conglomerates. Spearheaded $1.2B in acquisitions and led successful IPO exit.</w:t>
            </w:r>
          </w:p>
          <w:p>
            <w:pPr>
              <w:spacing w:before="0" w:after="0"/>
            </w:pPr>
          </w:p>
        </w:tc>
        <w:tc>
          <w:tcPr>
            <w:tcW w:w="4066" w:type="dxa"/>
            <w:tcMar>
              <w:left w:w="240" w:type="dxa"/>
            </w:tcMar>
          </w:tcPr>
          <w:p>
            <w:pPr>
              <w:spacing w:before="140" w:after="80"/>
              <w:pBdr>
                <w:bottom w:val="single" w:sz="6" w:space="4" w:color="C29342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C29342"/>
                <w:color w:val="FFFFFF"/>
              </w:rPr>
              <w:t xml:space="preserve">  🗂  </w:t>
            </w:r>
            <w:r>
              <w:rPr>
                <w:rFonts w:ascii="Segoe UI" w:hAnsi="Segoe UI" w:cs="Segoe UI"/>
                <w:b/>
                <w:sz w:val="22"/>
                <w:color w:val="A8792C"/>
              </w:rPr>
              <w:t xml:space="preserve">  CORE COMPETENCIES</w:t>
            </w:r>
          </w:p>
          <w:tbl>
            <w:tblPr>
              <w:tblW w:w="4066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CEO Leadership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Global P&amp;L ($500M+)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Board Governance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Public Markets (IPO/IR)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Corporate Strategy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M&amp;A Deal Sourcing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C89648"/>
                  <w:tcBorders>
                    <w:top w:val="single" w:sz="6" w:space="0" w:color="B0783C"/>
                    <w:left w:val="single" w:sz="6" w:space="0" w:color="B0783C"/>
                    <w:bottom w:val="single" w:sz="6" w:space="0" w:color="B0783C"/>
                    <w:right w:val="single" w:sz="6" w:space="0" w:color="B0783C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High-Stakes Negotiations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120" w:after="120"/>
        <w:pBdr>
          <w:bottom w:val="single" w:sz="14" w:space="6" w:color="3B82F6"/>
        </w:pBdr>
      </w:pPr>
    </w:p>
    <w:p>
      <w:pPr>
        <w:spacing w:before="140" w:after="80"/>
        <w:pBdr>
          <w:bottom w:val="single" w:sz="6" w:space="4" w:color="C29342"/>
        </w:pBdr>
      </w:pPr>
      <w:r>
        <w:rPr>
          <w:rFonts w:ascii="Segoe UI" w:hAnsi="Segoe UI" w:cs="Segoe UI"/>
          <w:b/>
          <w:sz w:val="20"/>
          <w:shd w:val="clear" w:color="auto" w:fill="C29342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A8792C"/>
        </w:rPr>
        <w:t xml:space="preserve">  CAREER TIMELINE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111827"/>
              </w:rPr>
              <w:t>Chief Executive Officer (CEO)</w:t>
            </w:r>
            <w:r>
              <w:rPr>
                <w:sz w:val="20"/>
                <w:color w:val="6B7280"/>
              </w:rPr>
              <w:t>  —  Aegis Industrial Technologies Group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A8792C"/>
              </w:rPr>
              <w:t>2018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C29342"/>
        </w:rPr>
        <w:t>▪ </w:t>
      </w:r>
      <w:r>
        <w:rPr>
          <w:sz w:val="20"/>
          <w:color w:val="374151"/>
        </w:rPr>
        <w:t>Guide 2,800 global employees across 12 countries with full P&amp;L accountability for $380M annual revenue.</w:t>
      </w:r>
    </w:p>
    <w:p>
      <w:pPr>
        <w:spacing w:before="20" w:after="40"/>
        <w:ind w:left="360" w:hanging="240"/>
      </w:pPr>
      <w:r>
        <w:rPr>
          <w:sz w:val="20"/>
          <w:color w:val="C29342"/>
        </w:rPr>
        <w:t>▪ </w:t>
      </w:r>
      <w:r>
        <w:rPr>
          <w:sz w:val="20"/>
          <w:color w:val="374151"/>
        </w:rPr>
        <w:t>Expanded enterprise EBITDA margin from 14% to 26.5% through portfolio optimization and digital automation.</w:t>
      </w:r>
    </w:p>
    <w:p>
      <w:pPr>
        <w:spacing w:before="20" w:after="40"/>
        <w:ind w:left="360" w:hanging="240"/>
      </w:pPr>
      <w:r>
        <w:rPr>
          <w:sz w:val="20"/>
          <w:color w:val="C29342"/>
        </w:rPr>
        <w:t>▪ </w:t>
      </w:r>
      <w:r>
        <w:rPr>
          <w:sz w:val="20"/>
          <w:color w:val="374151"/>
        </w:rPr>
        <w:t>Closed 5 strategic accretive acquisitions and established dominant market position across European manufacturing.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111827"/>
              </w:rPr>
              <w:t>Chief Operating Officer &amp; Board Member</w:t>
            </w:r>
            <w:r>
              <w:rPr>
                <w:sz w:val="20"/>
                <w:color w:val="6B7280"/>
              </w:rPr>
              <w:t>  —  Vanguard Automation Corp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A8792C"/>
              </w:rPr>
              <w:t>2012 – 2018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C29342"/>
        </w:rPr>
        <w:t>▪ </w:t>
      </w:r>
      <w:r>
        <w:rPr>
          <w:sz w:val="20"/>
          <w:color w:val="374151"/>
        </w:rPr>
        <w:t>Scaled operations leading to successful NYSE public listing at $850M market valuation.</w:t>
      </w:r>
    </w:p>
    <w:p>
      <w:pPr>
        <w:spacing w:before="20" w:after="40"/>
        <w:ind w:left="360" w:hanging="240"/>
      </w:pPr>
      <w:r>
        <w:rPr>
          <w:sz w:val="20"/>
          <w:color w:val="C29342"/>
        </w:rPr>
        <w:t>▪ </w:t>
      </w:r>
      <w:r>
        <w:rPr>
          <w:sz w:val="20"/>
          <w:color w:val="374151"/>
        </w:rPr>
        <w:t>Built premier global sales enterprise generating 38% compound annual revenue growth.</w:t>
      </w:r>
    </w:p>
    <w:p>
      <w:pPr>
        <w:spacing w:before="120" w:after="120"/>
        <w:pBdr>
          <w:bottom w:val="single" w:sz="14" w:space="6" w:color="3B82F6"/>
        </w:pBdr>
      </w:pPr>
    </w:p>
    <w:p>
      <w:pPr>
        <w:spacing w:before="140" w:after="80"/>
        <w:pBdr>
          <w:bottom w:val="single" w:sz="6" w:space="4" w:color="C29342"/>
        </w:pBdr>
      </w:pPr>
      <w:r>
        <w:rPr>
          <w:rFonts w:ascii="Segoe UI" w:hAnsi="Segoe UI" w:cs="Segoe UI"/>
          <w:b/>
          <w:sz w:val="20"/>
          <w:shd w:val="clear" w:color="auto" w:fill="C29342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A8792C"/>
        </w:rPr>
        <w:t xml:space="preserve">  EDUCATION &amp; ACADEMICS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111827"/>
              </w:rPr>
              <w:t>Master of Business Administration (MBA)</w:t>
            </w:r>
            <w:r>
              <w:rPr>
                <w:sz w:val="20"/>
                <w:color w:val="6B7280"/>
              </w:rPr>
              <w:t>  |  Harvard Business School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A8792C"/>
              </w:rPr>
              <w:t>2012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111827"/>
              </w:rPr>
              <w:t>B.S. in Mechanical Engineering, Summa Cum Laude</w:t>
            </w:r>
            <w:r>
              <w:rPr>
                <w:sz w:val="20"/>
                <w:color w:val="6B7280"/>
              </w:rPr>
              <w:t>  |  Cornell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A8792C"/>
              </w:rPr>
              <w:t>2006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74151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