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jc w:val="center"/>
        <w:spacing w:before="0" w:after="40"/>
      </w:pPr>
      <w:r>
        <w:rPr>
          <w:rFonts w:ascii="Segoe UI" w:hAnsi="Segoe UI" w:cs="Segoe UI"/>
          <w:b/>
          <w:sz w:val="48"/>
          <w:color w:val="0F172A"/>
        </w:rPr>
        <w:t>UMAKANT YADAV</w:t>
      </w:r>
    </w:p>
    <w:p>
      <w:pPr>
        <w:jc w:val="center"/>
        <w:spacing w:before="0" w:after="90"/>
      </w:pPr>
      <w:r>
        <w:rPr>
          <w:rFonts w:ascii="Segoe UI" w:hAnsi="Segoe UI" w:cs="Segoe UI"/>
          <w:b/>
          <w:sz w:val="26"/>
          <w:color w:val="0F766E"/>
        </w:rPr>
        <w:t>VP of Digital Performance &amp; Acquisition Strategy</w:t>
      </w:r>
    </w:p>
    <w:p>
      <w:pPr>
        <w:jc w:val="center"/>
        <w:spacing w:before="0" w:after="160"/>
        <w:pBdr>
          <w:bottom w:val="single" w:sz="18" w:space="8" w:color="0D9488"/>
        </w:pBdr>
      </w:pPr>
      <w:r>
        <w:rPr>
          <w:rFonts w:ascii="Segoe UI" w:hAnsi="Segoe UI"/>
          <w:b/>
          <w:sz w:val="18"/>
          <w:color w:val="0D9488"/>
        </w:rPr>
        <w:t xml:space="preserve">✉  </w:t>
      </w:r>
      <w:r>
        <w:rPr>
          <w:rFonts w:ascii="Segoe UI" w:hAnsi="Segoe UI"/>
          <w:sz w:val="18"/>
          <w:color w:val="334155"/>
        </w:rPr>
        <w:t>uky171991@gmail.com</w:t>
      </w:r>
      <w:r>
        <w:rPr>
          <w:rFonts w:ascii="Segoe UI" w:hAnsi="Segoe UI"/>
          <w:sz w:val="18"/>
          <w:color w:val="CBD5E1"/>
        </w:rPr>
        <w:t xml:space="preserve">      |      </w:t>
      </w:r>
      <w:r>
        <w:rPr>
          <w:rFonts w:ascii="Segoe UI" w:hAnsi="Segoe UI"/>
          <w:b/>
          <w:sz w:val="18"/>
          <w:color w:val="0D9488"/>
        </w:rPr>
        <w:t xml:space="preserve">✆  </w:t>
      </w:r>
      <w:r>
        <w:rPr>
          <w:rFonts w:ascii="Segoe UI" w:hAnsi="Segoe UI"/>
          <w:sz w:val="18"/>
          <w:color w:val="334155"/>
        </w:rPr>
        <w:t>9453619260</w:t>
      </w:r>
      <w:r>
        <w:rPr>
          <w:rFonts w:ascii="Segoe UI" w:hAnsi="Segoe UI"/>
          <w:sz w:val="18"/>
          <w:color w:val="CBD5E1"/>
        </w:rPr>
        <w:t xml:space="preserve">      |      </w:t>
      </w:r>
      <w:r>
        <w:rPr>
          <w:rFonts w:ascii="Segoe UI" w:hAnsi="Segoe UI"/>
          <w:b/>
          <w:sz w:val="18"/>
          <w:color w:val="0D9488"/>
        </w:rPr>
        <w:t xml:space="preserve">⚲  </w:t>
      </w:r>
      <w:r>
        <w:rPr>
          <w:rFonts w:ascii="Segoe UI" w:hAnsi="Segoe UI"/>
          <w:sz w:val="18"/>
          <w:color w:val="334155"/>
        </w:rPr>
        <w:t>Miami, FL</w:t>
      </w:r>
      <w:r>
        <w:rPr>
          <w:rFonts w:ascii="Segoe UI" w:hAnsi="Segoe UI"/>
          <w:sz w:val="18"/>
          <w:color w:val="CBD5E1"/>
        </w:rPr>
        <w:t xml:space="preserve">      |      </w:t>
      </w:r>
      <w:r>
        <w:rPr>
          <w:rFonts w:ascii="Segoe UI" w:hAnsi="Segoe UI"/>
          <w:b/>
          <w:sz w:val="18"/>
          <w:color w:val="0D9488"/>
        </w:rPr>
        <w:t xml:space="preserve">in  </w:t>
      </w:r>
      <w:r>
        <w:rPr>
          <w:rFonts w:ascii="Segoe UI" w:hAnsi="Segoe UI"/>
          <w:sz w:val="18"/>
          <w:color w:val="334155"/>
        </w:rPr>
        <w:t>linkedin.com/in/chrismartinez-growth</w:t>
      </w:r>
    </w:p>
    <w:tbl>
      <w:tblPr>
        <w:tblW w:w="10466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r>
        <w:tc>
          <w:tcPr>
            <w:tcW w:w="6400" w:type="dxa"/>
            <w:tcMar>
              <w:right w:w="240" w:type="dxa"/>
            </w:tcMar>
          </w:tcPr>
          <w:p>
            <w:pPr>
              <w:spacing w:before="140" w:after="80"/>
              <w:pBdr>
                <w:bottom w:val="single" w:sz="6" w:space="4" w:color="0D9488"/>
              </w:pBdr>
            </w:pPr>
            <w:r>
              <w:rPr>
                <w:rFonts w:ascii="Segoe UI" w:hAnsi="Segoe UI" w:cs="Segoe UI"/>
                <w:b/>
                <w:sz w:val="20"/>
                <w:shd w:val="clear" w:color="auto" w:fill="0D9488"/>
                <w:color w:val="FFFFFF"/>
              </w:rPr>
              <w:t xml:space="preserve">  👤  </w:t>
            </w:r>
            <w:r>
              <w:rPr>
                <w:rFonts w:ascii="Segoe UI" w:hAnsi="Segoe UI" w:cs="Segoe UI"/>
                <w:b/>
                <w:sz w:val="22"/>
                <w:color w:val="0F766E"/>
              </w:rPr>
              <w:t xml:space="preserve">  PROFILE SUMMARY</w:t>
            </w:r>
          </w:p>
          <w:p>
            <w:pPr>
              <w:spacing w:before="40" w:after="80"/>
              <w:ind w:left="280" w:hanging="220"/>
            </w:pPr>
            <w:r>
              <w:rPr>
                <w:rFonts w:ascii="Segoe UI" w:hAnsi="Segoe UI" w:cs="Segoe UI"/>
                <w:b/>
                <w:sz w:val="21"/>
                <w:color w:val="0D9488"/>
              </w:rPr>
              <w:t xml:space="preserve">–  </w:t>
            </w:r>
            <w:r>
              <w:rPr>
                <w:rFonts w:ascii="Segoe UI" w:hAnsi="Segoe UI" w:cs="Segoe UI"/>
                <w:sz w:val="19"/>
                <w:color w:val="334155"/>
              </w:rPr>
              <w:t>Analytical marketing executive with 9+ years architecting full-funnel customer acquisition, programmatic media buying, and attribution modeling for high-velocity D2C and FinTech brands.</w:t>
            </w:r>
          </w:p>
          <w:p>
            <w:pPr>
              <w:spacing w:before="0" w:after="0"/>
            </w:pPr>
          </w:p>
        </w:tc>
        <w:tc>
          <w:tcPr>
            <w:tcW w:w="4066" w:type="dxa"/>
            <w:tcMar>
              <w:left w:w="240" w:type="dxa"/>
            </w:tcMar>
          </w:tcPr>
          <w:p>
            <w:pPr>
              <w:spacing w:before="140" w:after="80"/>
              <w:pBdr>
                <w:bottom w:val="single" w:sz="6" w:space="4" w:color="0D9488"/>
              </w:pBdr>
            </w:pPr>
            <w:r>
              <w:rPr>
                <w:rFonts w:ascii="Segoe UI" w:hAnsi="Segoe UI" w:cs="Segoe UI"/>
                <w:b/>
                <w:sz w:val="20"/>
                <w:shd w:val="clear" w:color="auto" w:fill="0D9488"/>
                <w:color w:val="FFFFFF"/>
              </w:rPr>
              <w:t xml:space="preserve">  🗂  </w:t>
            </w:r>
            <w:r>
              <w:rPr>
                <w:rFonts w:ascii="Segoe UI" w:hAnsi="Segoe UI" w:cs="Segoe UI"/>
                <w:b/>
                <w:sz w:val="22"/>
                <w:color w:val="0F766E"/>
              </w:rPr>
              <w:t xml:space="preserve">  CORE COMPETENCIES</w:t>
            </w:r>
          </w:p>
          <w:tbl>
            <w:tblPr>
              <w:tblW w:w="4066" w:type="dxa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r>
              <w:tc>
                <w:tcPr>
                  <w:tcW w:w="4066" w:type="dxa"/>
                  <w:shd w:val="clear" w:color="auto" w:fill="14B8A6"/>
                  <w:tcBorders>
                    <w:top w:val="single" w:sz="6" w:space="0" w:color="0D9488"/>
                    <w:left w:val="single" w:sz="6" w:space="0" w:color="0D9488"/>
                    <w:bottom w:val="single" w:sz="6" w:space="0" w:color="0D9488"/>
                    <w:right w:val="single" w:sz="6" w:space="0" w:color="0D9488"/>
                  </w:tcBorders>
                  <w:tcMar>
                    <w:top w:w="120"/>
                    <w:bottom w:w="120"/>
                    <w:left w:w="140"/>
                    <w:right w:w="140"/>
                  </w:tcMar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Fonts w:ascii="Segoe UI" w:hAnsi="Segoe UI"/>
                      <w:b/>
                      <w:sz w:val="18"/>
                      <w:color w:val="FFFFFF"/>
                    </w:rPr>
                    <w:t>Performance Marketing</w:t>
                  </w:r>
                </w:p>
              </w:tc>
            </w:tr>
            <w:tr>
              <w:tc>
                <w:tcPr>
                  <w:tcW w:w="4066" w:type="dxa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w="0"/>
                    <w:bottom w:w="0"/>
                    <w:left w:w="0"/>
                    <w:right w:w="0"/>
                  </w:tcMar>
                </w:tcPr>
                <w:p>
                  <w:pPr>
                    <w:spacing w:before="20" w:after="30"/>
                  </w:pPr>
                </w:p>
              </w:tc>
            </w:tr>
            <w:tr>
              <w:tc>
                <w:tcPr>
                  <w:tcW w:w="4066" w:type="dxa"/>
                  <w:shd w:val="clear" w:color="auto" w:fill="14B8A6"/>
                  <w:tcBorders>
                    <w:top w:val="single" w:sz="6" w:space="0" w:color="0D9488"/>
                    <w:left w:val="single" w:sz="6" w:space="0" w:color="0D9488"/>
                    <w:bottom w:val="single" w:sz="6" w:space="0" w:color="0D9488"/>
                    <w:right w:val="single" w:sz="6" w:space="0" w:color="0D9488"/>
                  </w:tcBorders>
                  <w:tcMar>
                    <w:top w:w="120"/>
                    <w:bottom w:w="120"/>
                    <w:left w:w="140"/>
                    <w:right w:w="140"/>
                  </w:tcMar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Fonts w:ascii="Segoe UI" w:hAnsi="Segoe UI"/>
                      <w:b/>
                      <w:sz w:val="18"/>
                      <w:color w:val="FFFFFF"/>
                    </w:rPr>
                    <w:t>Media Buying ($20M+)</w:t>
                  </w:r>
                </w:p>
              </w:tc>
            </w:tr>
            <w:tr>
              <w:tc>
                <w:tcPr>
                  <w:tcW w:w="4066" w:type="dxa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w="0"/>
                    <w:bottom w:w="0"/>
                    <w:left w:w="0"/>
                    <w:right w:w="0"/>
                  </w:tcMar>
                </w:tcPr>
                <w:p>
                  <w:pPr>
                    <w:spacing w:before="20" w:after="30"/>
                  </w:pPr>
                </w:p>
              </w:tc>
            </w:tr>
            <w:tr>
              <w:tc>
                <w:tcPr>
                  <w:tcW w:w="4066" w:type="dxa"/>
                  <w:shd w:val="clear" w:color="auto" w:fill="14B8A6"/>
                  <w:tcBorders>
                    <w:top w:val="single" w:sz="6" w:space="0" w:color="0D9488"/>
                    <w:left w:val="single" w:sz="6" w:space="0" w:color="0D9488"/>
                    <w:bottom w:val="single" w:sz="6" w:space="0" w:color="0D9488"/>
                    <w:right w:val="single" w:sz="6" w:space="0" w:color="0D9488"/>
                  </w:tcBorders>
                  <w:tcMar>
                    <w:top w:w="120"/>
                    <w:bottom w:w="120"/>
                    <w:left w:w="140"/>
                    <w:right w:w="140"/>
                  </w:tcMar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Fonts w:ascii="Segoe UI" w:hAnsi="Segoe UI"/>
                      <w:b/>
                      <w:sz w:val="18"/>
                      <w:color w:val="FFFFFF"/>
                    </w:rPr>
                    <w:t>Multi-Touch Attribution</w:t>
                  </w:r>
                </w:p>
              </w:tc>
            </w:tr>
            <w:tr>
              <w:tc>
                <w:tcPr>
                  <w:tcW w:w="4066" w:type="dxa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w="0"/>
                    <w:bottom w:w="0"/>
                    <w:left w:w="0"/>
                    <w:right w:w="0"/>
                  </w:tcMar>
                </w:tcPr>
                <w:p>
                  <w:pPr>
                    <w:spacing w:before="20" w:after="30"/>
                  </w:pPr>
                </w:p>
              </w:tc>
            </w:tr>
            <w:tr>
              <w:tc>
                <w:tcPr>
                  <w:tcW w:w="4066" w:type="dxa"/>
                  <w:shd w:val="clear" w:color="auto" w:fill="14B8A6"/>
                  <w:tcBorders>
                    <w:top w:val="single" w:sz="6" w:space="0" w:color="0D9488"/>
                    <w:left w:val="single" w:sz="6" w:space="0" w:color="0D9488"/>
                    <w:bottom w:val="single" w:sz="6" w:space="0" w:color="0D9488"/>
                    <w:right w:val="single" w:sz="6" w:space="0" w:color="0D9488"/>
                  </w:tcBorders>
                  <w:tcMar>
                    <w:top w:w="120"/>
                    <w:bottom w:w="120"/>
                    <w:left w:w="140"/>
                    <w:right w:w="140"/>
                  </w:tcMar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Fonts w:ascii="Segoe UI" w:hAnsi="Segoe UI"/>
                      <w:b/>
                      <w:sz w:val="18"/>
                      <w:color w:val="FFFFFF"/>
                    </w:rPr>
                    <w:t>Conversion Rate Optimization (CRO)</w:t>
                  </w:r>
                </w:p>
              </w:tc>
            </w:tr>
            <w:tr>
              <w:tc>
                <w:tcPr>
                  <w:tcW w:w="4066" w:type="dxa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w="0"/>
                    <w:bottom w:w="0"/>
                    <w:left w:w="0"/>
                    <w:right w:w="0"/>
                  </w:tcMar>
                </w:tcPr>
                <w:p>
                  <w:pPr>
                    <w:spacing w:before="20" w:after="30"/>
                  </w:pPr>
                </w:p>
              </w:tc>
            </w:tr>
            <w:tr>
              <w:tc>
                <w:tcPr>
                  <w:tcW w:w="4066" w:type="dxa"/>
                  <w:shd w:val="clear" w:color="auto" w:fill="14B8A6"/>
                  <w:tcBorders>
                    <w:top w:val="single" w:sz="6" w:space="0" w:color="0D9488"/>
                    <w:left w:val="single" w:sz="6" w:space="0" w:color="0D9488"/>
                    <w:bottom w:val="single" w:sz="6" w:space="0" w:color="0D9488"/>
                    <w:right w:val="single" w:sz="6" w:space="0" w:color="0D9488"/>
                  </w:tcBorders>
                  <w:tcMar>
                    <w:top w:w="120"/>
                    <w:bottom w:w="120"/>
                    <w:left w:w="140"/>
                    <w:right w:w="140"/>
                  </w:tcMar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Fonts w:ascii="Segoe UI" w:hAnsi="Segoe UI"/>
                      <w:b/>
                      <w:sz w:val="18"/>
                      <w:color w:val="FFFFFF"/>
                    </w:rPr>
                    <w:t>Data Studio / Tableau</w:t>
                  </w:r>
                </w:p>
              </w:tc>
            </w:tr>
            <w:tr>
              <w:tc>
                <w:tcPr>
                  <w:tcW w:w="4066" w:type="dxa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w="0"/>
                    <w:bottom w:w="0"/>
                    <w:left w:w="0"/>
                    <w:right w:w="0"/>
                  </w:tcMar>
                </w:tcPr>
                <w:p>
                  <w:pPr>
                    <w:spacing w:before="20" w:after="30"/>
                  </w:pPr>
                </w:p>
              </w:tc>
            </w:tr>
            <w:tr>
              <w:tc>
                <w:tcPr>
                  <w:tcW w:w="4066" w:type="dxa"/>
                  <w:shd w:val="clear" w:color="auto" w:fill="14B8A6"/>
                  <w:tcBorders>
                    <w:top w:val="single" w:sz="6" w:space="0" w:color="0D9488"/>
                    <w:left w:val="single" w:sz="6" w:space="0" w:color="0D9488"/>
                    <w:bottom w:val="single" w:sz="6" w:space="0" w:color="0D9488"/>
                    <w:right w:val="single" w:sz="6" w:space="0" w:color="0D9488"/>
                  </w:tcBorders>
                  <w:tcMar>
                    <w:top w:w="120"/>
                    <w:bottom w:w="120"/>
                    <w:left w:w="140"/>
                    <w:right w:w="140"/>
                  </w:tcMar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Fonts w:ascii="Segoe UI" w:hAnsi="Segoe UI"/>
                      <w:b/>
                      <w:sz w:val="18"/>
                      <w:color w:val="FFFFFF"/>
                    </w:rPr>
                    <w:t>SQL</w:t>
                  </w:r>
                </w:p>
              </w:tc>
            </w:tr>
            <w:tr>
              <w:tc>
                <w:tcPr>
                  <w:tcW w:w="4066" w:type="dxa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w="0"/>
                    <w:bottom w:w="0"/>
                    <w:left w:w="0"/>
                    <w:right w:w="0"/>
                  </w:tcMar>
                </w:tcPr>
                <w:p>
                  <w:pPr>
                    <w:spacing w:before="20" w:after="30"/>
                  </w:pPr>
                </w:p>
              </w:tc>
            </w:tr>
            <w:tr>
              <w:tc>
                <w:tcPr>
                  <w:tcW w:w="4066" w:type="dxa"/>
                  <w:shd w:val="clear" w:color="auto" w:fill="14B8A6"/>
                  <w:tcBorders>
                    <w:top w:val="single" w:sz="6" w:space="0" w:color="0D9488"/>
                    <w:left w:val="single" w:sz="6" w:space="0" w:color="0D9488"/>
                    <w:bottom w:val="single" w:sz="6" w:space="0" w:color="0D9488"/>
                    <w:right w:val="single" w:sz="6" w:space="0" w:color="0D9488"/>
                  </w:tcBorders>
                  <w:tcMar>
                    <w:top w:w="120"/>
                    <w:bottom w:w="120"/>
                    <w:left w:w="140"/>
                    <w:right w:w="140"/>
                  </w:tcMar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Fonts w:ascii="Segoe UI" w:hAnsi="Segoe UI"/>
                      <w:b/>
                      <w:sz w:val="18"/>
                      <w:color w:val="FFFFFF"/>
                    </w:rPr>
                    <w:t>Google Ads</w:t>
                  </w:r>
                </w:p>
              </w:tc>
            </w:tr>
            <w:tr>
              <w:tc>
                <w:tcPr>
                  <w:tcW w:w="4066" w:type="dxa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w="0"/>
                    <w:bottom w:w="0"/>
                    <w:left w:w="0"/>
                    <w:right w:w="0"/>
                  </w:tcMar>
                </w:tcPr>
                <w:p>
                  <w:pPr>
                    <w:spacing w:before="20" w:after="30"/>
                  </w:pPr>
                </w:p>
              </w:tc>
            </w:tr>
            <w:tr>
              <w:tc>
                <w:tcPr>
                  <w:tcW w:w="4066" w:type="dxa"/>
                  <w:shd w:val="clear" w:color="auto" w:fill="14B8A6"/>
                  <w:tcBorders>
                    <w:top w:val="single" w:sz="6" w:space="0" w:color="0D9488"/>
                    <w:left w:val="single" w:sz="6" w:space="0" w:color="0D9488"/>
                    <w:bottom w:val="single" w:sz="6" w:space="0" w:color="0D9488"/>
                    <w:right w:val="single" w:sz="6" w:space="0" w:color="0D9488"/>
                  </w:tcBorders>
                  <w:tcMar>
                    <w:top w:w="120"/>
                    <w:bottom w:w="120"/>
                    <w:left w:w="140"/>
                    <w:right w:w="140"/>
                  </w:tcMar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Fonts w:ascii="Segoe UI" w:hAnsi="Segoe UI"/>
                      <w:b/>
                      <w:sz w:val="18"/>
                      <w:color w:val="FFFFFF"/>
                    </w:rPr>
                    <w:t>Meta Ads</w:t>
                  </w:r>
                </w:p>
              </w:tc>
            </w:tr>
            <w:tr>
              <w:tc>
                <w:tcPr>
                  <w:tcW w:w="4066" w:type="dxa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w="0"/>
                    <w:bottom w:w="0"/>
                    <w:left w:w="0"/>
                    <w:right w:w="0"/>
                  </w:tcMar>
                </w:tcPr>
                <w:p>
                  <w:pPr>
                    <w:spacing w:before="20" w:after="30"/>
                  </w:pPr>
                </w:p>
              </w:tc>
            </w:tr>
          </w:tbl>
          <w:p>
            <w:pPr>
              <w:spacing w:before="0" w:after="0"/>
            </w:pPr>
          </w:p>
        </w:tc>
      </w:tr>
    </w:tbl>
    <w:p>
      <w:pPr>
        <w:spacing w:before="120" w:after="120"/>
        <w:pBdr>
          <w:bottom w:val="single" w:sz="14" w:space="6" w:color="0D9488"/>
        </w:pBdr>
      </w:pPr>
    </w:p>
    <w:p>
      <w:pPr>
        <w:spacing w:before="140" w:after="80"/>
        <w:pBdr>
          <w:bottom w:val="single" w:sz="6" w:space="4" w:color="0D9488"/>
        </w:pBdr>
      </w:pPr>
      <w:r>
        <w:rPr>
          <w:rFonts w:ascii="Segoe UI" w:hAnsi="Segoe UI" w:cs="Segoe UI"/>
          <w:b/>
          <w:sz w:val="20"/>
          <w:shd w:val="clear" w:color="auto" w:fill="0D9488"/>
          <w:color w:val="FFFFFF"/>
        </w:rPr>
        <w:t xml:space="preserve">  💼  </w:t>
      </w:r>
      <w:r>
        <w:rPr>
          <w:rFonts w:ascii="Segoe UI" w:hAnsi="Segoe UI" w:cs="Segoe UI"/>
          <w:b/>
          <w:sz w:val="22"/>
          <w:color w:val="0F766E"/>
        </w:rPr>
        <w:t xml:space="preserve">  CAREER TIMELINE</w:t>
      </w:r>
    </w:p>
    <w:tbl>
      <w:tblPr>
        <w:tblW w:w="10466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r>
        <w:tc>
          <w:tcPr>
            <w:tcW w:w="7600" w:type="dxa"/>
          </w:tcPr>
          <w:p>
            <w:pPr>
              <w:spacing w:before="80" w:after="20"/>
            </w:pPr>
            <w:r>
              <w:rPr>
                <w:b/>
                <w:sz w:val="22"/>
                <w:color w:val="0F172A"/>
              </w:rPr>
              <w:t>VP of Performance Marketing</w:t>
            </w:r>
            <w:r>
              <w:rPr>
                <w:sz w:val="20"/>
                <w:color w:val="64748B"/>
              </w:rPr>
              <w:t>  —  E-Commerce Brands Holdings</w:t>
            </w:r>
          </w:p>
        </w:tc>
        <w:tc>
          <w:tcPr>
            <w:tcW w:w="2866" w:type="dxa"/>
          </w:tcPr>
          <w:p>
            <w:pPr>
              <w:jc w:val="right"/>
              <w:spacing w:before="80" w:after="20"/>
            </w:pPr>
            <w:r>
              <w:rPr>
                <w:b/>
                <w:sz w:val="19"/>
                <w:color w:val="0F766E"/>
              </w:rPr>
              <w:t>2021 – Present</w:t>
            </w:r>
          </w:p>
        </w:tc>
      </w:tr>
    </w:tbl>
    <w:p>
      <w:pPr>
        <w:spacing w:before="20" w:after="40"/>
        <w:ind w:left="360" w:hanging="240"/>
      </w:pPr>
      <w:r>
        <w:rPr>
          <w:sz w:val="20"/>
          <w:color w:val="0D9488"/>
        </w:rPr>
        <w:t>▪ </w:t>
      </w:r>
      <w:r>
        <w:rPr>
          <w:sz w:val="20"/>
          <w:color w:val="334155"/>
        </w:rPr>
        <w:t>Scaled annual paid media deployment from $4M to $18M across Meta, Google, TikTok, and CTV.</w:t>
      </w:r>
    </w:p>
    <w:p>
      <w:pPr>
        <w:spacing w:before="20" w:after="40"/>
        <w:ind w:left="360" w:hanging="240"/>
      </w:pPr>
      <w:r>
        <w:rPr>
          <w:sz w:val="20"/>
          <w:color w:val="0D9488"/>
        </w:rPr>
        <w:t>▪ </w:t>
      </w:r>
      <w:r>
        <w:rPr>
          <w:sz w:val="20"/>
          <w:color w:val="334155"/>
        </w:rPr>
        <w:t>Improved Blended ROAS from 2.1x to 3.8x while growing new customer acquisitions by 190%.</w:t>
      </w:r>
    </w:p>
    <w:p>
      <w:pPr>
        <w:spacing w:before="20" w:after="40"/>
        <w:ind w:left="360" w:hanging="240"/>
      </w:pPr>
      <w:r>
        <w:rPr>
          <w:sz w:val="20"/>
          <w:color w:val="0D9488"/>
        </w:rPr>
        <w:t>▪ </w:t>
      </w:r>
      <w:r>
        <w:rPr>
          <w:sz w:val="20"/>
          <w:color w:val="334155"/>
        </w:rPr>
        <w:t>Built in-house multi-touch attribution (MTA) model integrating server-side Conversions API.</w:t>
      </w:r>
    </w:p>
    <w:tbl>
      <w:tblPr>
        <w:tblW w:w="10466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r>
        <w:tc>
          <w:tcPr>
            <w:tcW w:w="7600" w:type="dxa"/>
          </w:tcPr>
          <w:p>
            <w:pPr>
              <w:spacing w:before="80" w:after="20"/>
            </w:pPr>
            <w:r>
              <w:rPr>
                <w:b/>
                <w:sz w:val="22"/>
                <w:color w:val="0F172A"/>
              </w:rPr>
              <w:t>Director of Growth Marketing</w:t>
            </w:r>
            <w:r>
              <w:rPr>
                <w:sz w:val="20"/>
                <w:color w:val="64748B"/>
              </w:rPr>
              <w:t>  —  FinTrack Mobile Banking</w:t>
            </w:r>
          </w:p>
        </w:tc>
        <w:tc>
          <w:tcPr>
            <w:tcW w:w="2866" w:type="dxa"/>
          </w:tcPr>
          <w:p>
            <w:pPr>
              <w:jc w:val="right"/>
              <w:spacing w:before="80" w:after="20"/>
            </w:pPr>
            <w:r>
              <w:rPr>
                <w:b/>
                <w:sz w:val="19"/>
                <w:color w:val="0F766E"/>
              </w:rPr>
              <w:t>2017 – 2021</w:t>
            </w:r>
          </w:p>
        </w:tc>
      </w:tr>
    </w:tbl>
    <w:p>
      <w:pPr>
        <w:spacing w:before="20" w:after="40"/>
        <w:ind w:left="360" w:hanging="240"/>
      </w:pPr>
      <w:r>
        <w:rPr>
          <w:sz w:val="20"/>
          <w:color w:val="0D9488"/>
        </w:rPr>
        <w:t>▪ </w:t>
      </w:r>
      <w:r>
        <w:rPr>
          <w:sz w:val="20"/>
          <w:color w:val="334155"/>
        </w:rPr>
        <w:t>Acquired 1.8M verified mobile banking accounts with 28% lower blended CAC than industry benchmarks.</w:t>
      </w:r>
    </w:p>
    <w:p>
      <w:pPr>
        <w:spacing w:before="20" w:after="40"/>
        <w:ind w:left="360" w:hanging="240"/>
      </w:pPr>
      <w:r>
        <w:rPr>
          <w:sz w:val="20"/>
          <w:color w:val="0D9488"/>
        </w:rPr>
        <w:t>▪ </w:t>
      </w:r>
      <w:r>
        <w:rPr>
          <w:sz w:val="20"/>
          <w:color w:val="334155"/>
        </w:rPr>
        <w:t>Built automated lifecycle SMS and email retention flows generating 32% of total repeat transactions.</w:t>
      </w:r>
    </w:p>
    <w:p>
      <w:pPr>
        <w:spacing w:before="120" w:after="120"/>
        <w:pBdr>
          <w:bottom w:val="single" w:sz="14" w:space="6" w:color="0D9488"/>
        </w:pBdr>
      </w:pPr>
    </w:p>
    <w:p>
      <w:pPr>
        <w:spacing w:before="140" w:after="80"/>
        <w:pBdr>
          <w:bottom w:val="single" w:sz="6" w:space="4" w:color="0D9488"/>
        </w:pBdr>
      </w:pPr>
      <w:r>
        <w:rPr>
          <w:rFonts w:ascii="Segoe UI" w:hAnsi="Segoe UI" w:cs="Segoe UI"/>
          <w:b/>
          <w:sz w:val="20"/>
          <w:shd w:val="clear" w:color="auto" w:fill="0D9488"/>
          <w:color w:val="FFFFFF"/>
        </w:rPr>
        <w:t xml:space="preserve">  🏛  </w:t>
      </w:r>
      <w:r>
        <w:rPr>
          <w:rFonts w:ascii="Segoe UI" w:hAnsi="Segoe UI" w:cs="Segoe UI"/>
          <w:b/>
          <w:sz w:val="22"/>
          <w:color w:val="0F766E"/>
        </w:rPr>
        <w:t xml:space="preserve">  EDUCATION &amp; ACADEMICS</w:t>
      </w:r>
    </w:p>
    <w:tbl>
      <w:tblPr>
        <w:tblW w:w="10466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r>
        <w:tc>
          <w:tcPr>
            <w:tcW w:w="7600" w:type="dxa"/>
          </w:tcPr>
          <w:p>
            <w:pPr>
              <w:spacing w:before="60" w:after="20"/>
            </w:pPr>
            <w:r>
              <w:rPr>
                <w:b/>
                <w:sz w:val="21"/>
                <w:color w:val="0F172A"/>
              </w:rPr>
              <w:t>B.S. in Marketing &amp; Data Analytics</w:t>
            </w:r>
            <w:r>
              <w:rPr>
                <w:sz w:val="20"/>
                <w:color w:val="64748B"/>
              </w:rPr>
              <w:t>  |  University of Florida</w:t>
            </w:r>
          </w:p>
        </w:tc>
        <w:tc>
          <w:tcPr>
            <w:tcW w:w="2866" w:type="dxa"/>
          </w:tcPr>
          <w:p>
            <w:pPr>
              <w:jc w:val="right"/>
              <w:spacing w:before="60" w:after="20"/>
            </w:pPr>
            <w:r>
              <w:rPr>
                <w:b/>
                <w:sz w:val="19"/>
                <w:color w:val="0F766E"/>
              </w:rPr>
              <w:t>2017</w:t>
            </w:r>
          </w:p>
        </w:tc>
      </w:tr>
    </w:tbl>
    <w:sectPr>
      <w:pgSz w:w="11906" w:h="16838"/>
      <w:pgMar w:top="720" w:right="720" w:bottom="720" w:left="720"/>
    </w:sectPr>
  </w:body>
</w:document>
</file>

<file path=word/styles.xml><?xml version="1.0" encoding="utf-8"?>
<w:styles xmlns:w="http://schemas.openxmlformats.org/wordprocessingml/2006/main">
  <w:docDefaults>
    <w:rPrDefault>
      <w:rFonts w:ascii="Segoe UI" w:hAnsi="Segoe UI" w:cs="Segoe UI"/>
      <w:sz w:val="20"/>
      <w:color w:val="334155"/>
    </w:rPrDefault>
    <w:pPrDefault>
      <w:spacing w:line="260" w:lineRule="auto"/>
    </w:pPrDefault>
  </w:docDefaults>
</w:styles>
</file>

<file path=word/_rels/document.xml.rels><?xml version="1.0" encoding="UTF-8" standalone="yes"?>
<Relationships xmlns="http://schemas.openxmlformats.org/package/2006/relationships">
  <Relationship Id="rIdStyles" Type="http://schemas.openxmlformats.org/officeDocument/2006/relationships/styles" Target="styles.xml"/>
</Relationships>
</file>