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Director of Environmental Science &amp; Sustainability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Copenhagen, Denmark    |    in linkedin.com/in/astridholm-eco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Senior environmental scientist with 10+ years advising international governing bodies, institutional investors, and renewable energy consortiums on ESG strategy, carbon lifecycle modeling, and ecological risk mitigation.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Carbon Accounting (GHG Protocol)    •    ESG Governance    •    Life Cycle Assessment (LCA)</w:t>
      </w:r>
    </w:p>
    <w:p>
      <w:pPr>
        <w:spacing w:before="0" w:after="50"/>
      </w:pPr>
      <w:r>
        <w:rPr>
          <w:b/>
          <w:sz w:val="20"/>
          <w:color w:val="0F172A"/>
        </w:rPr>
        <w:t>• GIS Spatial Analysis    •    Renewable Energy Strategy    •    Policy Drafting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Director of Climate Advisory</w:t>
            </w:r>
            <w:r>
              <w:rPr>
                <w:sz w:val="20"/>
                <w:color w:val="64748B"/>
              </w:rPr>
              <w:t>  —  Nordic EcoSolutions Consortium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2020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Spearheaded net-zero transition roadmaps for 18 European industrial enterprises, reducing carbon footprint by 1.4Mt CO2e.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Published 8 peer-reviewed research papers on coastal ecosystem biodiversity and carbon sequestration.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Managed €5.8M research grants funded by the European Green Horizon initiative.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Sustainability Consultant</w:t>
            </w:r>
            <w:r>
              <w:rPr>
                <w:sz w:val="20"/>
                <w:color w:val="64748B"/>
              </w:rPr>
              <w:t>  —  Ramboll Environmental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2016 – 2020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Conducted comprehensive Environmental Impact Assessments (EIA) for offshore wind farm installations in the North Sea.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Implemented automated GHG Scope 1, 2, and 3 emissions tracking protocols.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Ph.D. in Environmental Science &amp; Ecology</w:t>
            </w:r>
            <w:r>
              <w:rPr>
                <w:sz w:val="20"/>
                <w:color w:val="64748B"/>
              </w:rPr>
              <w:t>  |  University of Copenhagen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2016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M.Sc. in Climate Change &amp; Policy</w:t>
            </w:r>
            <w:r>
              <w:rPr>
                <w:sz w:val="20"/>
                <w:color w:val="64748B"/>
              </w:rPr>
              <w:t>  |  Aarhus University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2012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