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Principal Landscape Architect &amp; Ecological Designer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Portland, OR    |    in linkedin.com/in/clarasterling-pla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Licensed Landscape Architect with 10+ years specializing in public park masterplans, biophilic urban design, climate-resilient stormwater systems, and regenerative botanical gardens. Recognized by the American Society of Landscape Architects (ASLA).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Landscape Architecture (PLA)    •    Native Flora Horticulture    •    Urban Water Conservation</w:t>
      </w:r>
    </w:p>
    <w:p>
      <w:pPr>
        <w:spacing w:before="0" w:after="50"/>
      </w:pPr>
      <w:r>
        <w:rPr>
          <w:b/>
          <w:sz w:val="20"/>
          <w:color w:val="0F172A"/>
        </w:rPr>
        <w:t>• AutoCAD &amp; Vectorworks    •    Biophilic Design    •    Grading &amp; Drainage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Principal Landscape Architect</w:t>
            </w:r>
            <w:r>
              <w:rPr>
                <w:sz w:val="20"/>
                <w:color w:val="64748B"/>
              </w:rPr>
              <w:t>  —  Verdant Ecological Studio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2020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Directed botanical master planning for the 22-acre Willamette Riverfront Civic Park.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Integrated native plant palettes and passive bio-swale filtration mitigating 100% of urban surface runoff.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Managed $14M municipal construction budget and led community engagement workshops with 500+ residents.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Landscape Designer</w:t>
            </w:r>
            <w:r>
              <w:rPr>
                <w:sz w:val="20"/>
                <w:color w:val="64748B"/>
              </w:rPr>
              <w:t>  —  Mithun Collaborative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2015 – 2020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Designed LEED Platinum courtyard gardens and green roofs for university campus projects.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Produced construction documentation, grading plans, planting specifications, and municipal permit filings.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Master of Landscape Architecture (MLA)</w:t>
            </w:r>
            <w:r>
              <w:rPr>
                <w:sz w:val="20"/>
                <w:color w:val="64748B"/>
              </w:rPr>
              <w:t>  |  Harvard University Graduate School of Design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2015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Environmental Horticulture</w:t>
            </w:r>
            <w:r>
              <w:rPr>
                <w:sz w:val="20"/>
                <w:color w:val="64748B"/>
              </w:rPr>
              <w:t>  |  University of Washington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2012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